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2D8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25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3"/>
      </w:tblGrid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</w:p>
        </w:tc>
      </w:tr>
    </w:tbl>
    <w:p w:rsidR="00000000" w:rsidRDefault="00632D82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380"/>
        <w:gridCol w:w="180"/>
        <w:gridCol w:w="821"/>
        <w:gridCol w:w="180"/>
        <w:gridCol w:w="429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15.05.2019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Гулiєв Урфан Рiзван огли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632D82">
      <w:pPr>
        <w:rPr>
          <w:rFonts w:eastAsia="Times New Roman"/>
          <w:color w:val="000000"/>
        </w:rPr>
      </w:pPr>
    </w:p>
    <w:p w:rsidR="00000000" w:rsidRDefault="00632D82">
      <w:pPr>
        <w:pStyle w:val="4"/>
        <w:rPr>
          <w:rFonts w:eastAsia="Times New Roman"/>
          <w:color w:val="000000"/>
        </w:rPr>
      </w:pPr>
      <w:bookmarkStart w:id="0" w:name="_GoBack"/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bookmarkEnd w:id="0"/>
    <w:p w:rsidR="00000000" w:rsidRDefault="00632D8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"АСНОВА ХОЛДИНГ"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Акціонерне </w:t>
            </w:r>
            <w:r>
              <w:rPr>
                <w:rFonts w:eastAsia="Times New Roman"/>
                <w:color w:val="000000"/>
              </w:rPr>
              <w:t xml:space="preserve">товариство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03115, м. Київ обл., Київ, Миколи Краснова, 27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+380444529886 +380444529886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steblyanko.i@asnova.com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оприлюднення регульованої інформа</w:t>
            </w:r>
            <w:r>
              <w:rPr>
                <w:rFonts w:eastAsia="Times New Roman"/>
                <w:color w:val="000000"/>
              </w:rPr>
              <w:t>ції від імені учасника фондового ринку.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Державна установа «Агентство з розвитку iнфраструктури фондового ринку України»</w:t>
            </w:r>
            <w:r>
              <w:rPr>
                <w:rFonts w:eastAsia="Times New Roman"/>
                <w:color w:val="000000"/>
              </w:rPr>
              <w:br/>
              <w:t>21676262</w:t>
            </w:r>
            <w:r>
              <w:rPr>
                <w:rFonts w:eastAsia="Times New Roman"/>
                <w:color w:val="000000"/>
              </w:rPr>
              <w:br/>
              <w:t xml:space="preserve">УКРАЇНА </w:t>
            </w:r>
            <w:r>
              <w:rPr>
                <w:rFonts w:eastAsia="Times New Roman"/>
                <w:color w:val="000000"/>
              </w:rPr>
              <w:br/>
              <w:t>DR/00001/APA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632D82">
      <w:pPr>
        <w:rPr>
          <w:rFonts w:eastAsia="Times New Roman"/>
          <w:color w:val="000000"/>
        </w:rPr>
      </w:pPr>
    </w:p>
    <w:p w:rsidR="00000000" w:rsidRDefault="00632D82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900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Повідомлення роз</w:t>
            </w:r>
            <w:r>
              <w:rPr>
                <w:rFonts w:eastAsia="Times New Roman"/>
                <w:color w:val="000000"/>
              </w:rPr>
              <w:t>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http://asnova.com/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15.05.2019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632D82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632D82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прийняття рішення про виплату дивідендів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698"/>
        <w:gridCol w:w="5395"/>
        <w:gridCol w:w="2698"/>
        <w:gridCol w:w="2698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вчинення дії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дивідендів, що підлягають виплаті, грн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Строк виплати дивідендів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Спосіб виплати дивідендів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39998156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23.04.2019 - 23.10.2019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безпосередньо акціонерам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32D82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Загальними зборами ПрАТ «АСНОВА ХОЛДИНГ», що вiдбулися 23 квiтня 2019 року, по восьмому питанню порядку денного «Затвердження розподiлу прибутку i збиткiв (покриття збиткiв) Товариства за 2018 рiк. Прийняття рiшення про виплату дивiдендiв та затвердження р</w:t>
            </w:r>
            <w:r>
              <w:rPr>
                <w:rFonts w:eastAsia="Times New Roman"/>
                <w:color w:val="000000"/>
              </w:rPr>
              <w:t>озмiру рiчних дивiдендiв, порядку та строкiв їх виплати» (рiшення прийнято одноголосно) прийнятi наступнi рiшення:</w:t>
            </w:r>
            <w:r>
              <w:rPr>
                <w:rFonts w:eastAsia="Times New Roman"/>
                <w:color w:val="000000"/>
              </w:rPr>
              <w:br/>
              <w:t>Затвердити порядок розподiлу прибутку за рахунок прибутку 2018 року.</w:t>
            </w:r>
            <w:r>
              <w:rPr>
                <w:rFonts w:eastAsia="Times New Roman"/>
                <w:color w:val="000000"/>
              </w:rPr>
              <w:br/>
              <w:t>Направити:</w:t>
            </w:r>
            <w:r>
              <w:rPr>
                <w:rFonts w:eastAsia="Times New Roman"/>
                <w:color w:val="000000"/>
              </w:rPr>
              <w:br/>
              <w:t>39 998 156 (тридцять дев’ять мiльйонiв дев’ятсот дев’яносто в</w:t>
            </w:r>
            <w:r>
              <w:rPr>
                <w:rFonts w:eastAsia="Times New Roman"/>
                <w:color w:val="000000"/>
              </w:rPr>
              <w:t>iсiм тисяч сто п’ятдесят шiсть гривень 00 коп.) грн. на виплату дивiдендiв акцiонерам та виплатити на одну акцiю номiналом 1 000,00 грн. по 3 278,00 грн., з урахуванням податку з доходу фiзичних осiб та iнших обов’язкових податкiв та зборiв, вiдповiдальнiс</w:t>
            </w:r>
            <w:r>
              <w:rPr>
                <w:rFonts w:eastAsia="Times New Roman"/>
                <w:color w:val="000000"/>
              </w:rPr>
              <w:t>ть за утримання та перерахування якого покладається на Товариство.</w:t>
            </w:r>
            <w:r>
              <w:rPr>
                <w:rFonts w:eastAsia="Times New Roman"/>
                <w:color w:val="000000"/>
              </w:rPr>
              <w:br/>
              <w:t>Наглядовiй радi встановити дату складення перелiку осiб, якi мають право на отримання дивiдендiв, порядок та строк їх виплати. Зазначити, що виплата дивiдендiв здiйснюватиметься шляхом безг</w:t>
            </w:r>
            <w:r>
              <w:rPr>
                <w:rFonts w:eastAsia="Times New Roman"/>
                <w:color w:val="000000"/>
              </w:rPr>
              <w:t>отiвкового перерахунку суми дивiдендiв на поточнi рахунки акцiонерiв, про якi акцiонери повiдомляють Товариство. Дивiденди можуть виплачуватися частинами.</w:t>
            </w:r>
            <w:r>
              <w:rPr>
                <w:rFonts w:eastAsia="Times New Roman"/>
                <w:color w:val="000000"/>
              </w:rPr>
              <w:br/>
              <w:t xml:space="preserve">Направити, в порядку встановленому статутом, або вручити особисто повiдомлення кожнiй особi, яка має </w:t>
            </w:r>
            <w:r>
              <w:rPr>
                <w:rFonts w:eastAsia="Times New Roman"/>
                <w:color w:val="000000"/>
              </w:rPr>
              <w:t>право на отримання дивiдендiв, про дату, розмiр, порядок та строк їх виплати.</w:t>
            </w:r>
            <w:r>
              <w:rPr>
                <w:rFonts w:eastAsia="Times New Roman"/>
                <w:color w:val="000000"/>
              </w:rPr>
              <w:br/>
              <w:t>Наглядовою радою прийнято наступне рiшення (Протокол № 433 вiд 14.05.2019 року):</w:t>
            </w:r>
            <w:r>
              <w:rPr>
                <w:rFonts w:eastAsia="Times New Roman"/>
                <w:color w:val="000000"/>
              </w:rPr>
              <w:br/>
              <w:t>1. Призначити датою складення перелiку осiб, якi мають право на отримання дивiдендiв за акцiями 2</w:t>
            </w:r>
            <w:r>
              <w:rPr>
                <w:rFonts w:eastAsia="Times New Roman"/>
                <w:color w:val="000000"/>
              </w:rPr>
              <w:t>9 травня 2019 року (станом на 24 годину цiєї дати) та датою початку виплати дивiдендiв – 30 травня 2019 року. Термiн виплати дивiдендiв – не бiльше 6 (шести) мiсяцiв з дня прийняття загальними зборами рiшення про виплату дивiдендiв. Дивiденди сплачувати фi</w:t>
            </w:r>
            <w:r>
              <w:rPr>
                <w:rFonts w:eastAsia="Times New Roman"/>
                <w:color w:val="000000"/>
              </w:rPr>
              <w:t>зичним особам шляхом безготiвкового перерахунку суми дивiдендiв на поточнi рахунки акцiонерiв, про якi акцiонери повiдомляють Товариство. Дивiденди можуть виплачуватися частинами. Джерелом виплати дивiдендiв є прибуток Товариства.</w:t>
            </w:r>
            <w:r>
              <w:rPr>
                <w:rFonts w:eastAsia="Times New Roman"/>
                <w:color w:val="000000"/>
              </w:rPr>
              <w:br/>
              <w:t>2. Направити, в порядку в</w:t>
            </w:r>
            <w:r>
              <w:rPr>
                <w:rFonts w:eastAsia="Times New Roman"/>
                <w:color w:val="000000"/>
              </w:rPr>
              <w:t>становленому статутом, або вручити пiд розписку повiдомлення кожнiй особi, яка має право на отримання дивiдендiв, про дату, розмiр, порядок та строк їх виплати.</w:t>
            </w:r>
          </w:p>
        </w:tc>
      </w:tr>
    </w:tbl>
    <w:p w:rsidR="00632D82" w:rsidRDefault="00632D82">
      <w:pPr>
        <w:rPr>
          <w:rFonts w:eastAsia="Times New Roman"/>
        </w:rPr>
      </w:pPr>
    </w:p>
    <w:sectPr w:rsidR="00632D82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F167D"/>
    <w:rsid w:val="00632D82"/>
    <w:rsid w:val="00D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1C9F1-BE6B-41BB-83EE-2F686465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2726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ASNOVA Holding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2019-05-15T12:49:00Z</dcterms:created>
  <dcterms:modified xsi:type="dcterms:W3CDTF">2019-05-15T12:49:00Z</dcterms:modified>
</cp:coreProperties>
</file>