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5A02F9">
      <w:pPr>
        <w:pStyle w:val="3"/>
        <w:rPr>
          <w:rFonts w:eastAsia="Times New Roman"/>
          <w:color w:val="000000"/>
        </w:rPr>
      </w:pPr>
      <w:r>
        <w:rPr>
          <w:rFonts w:eastAsia="Times New Roman"/>
          <w:color w:val="000000"/>
        </w:rPr>
        <w:t>Повідомлення про вини</w:t>
      </w:r>
      <w:bookmarkStart w:id="0" w:name="_GoBack"/>
      <w:bookmarkEnd w:id="0"/>
      <w:r>
        <w:rPr>
          <w:rFonts w:eastAsia="Times New Roman"/>
          <w:color w:val="000000"/>
        </w:rPr>
        <w:t>кнення особливої інформації (інформації про іпотечні цінні папери, сертифікати фонду операцій з нерухомістю) емітента</w:t>
      </w:r>
    </w:p>
    <w:p w:rsidR="00000000" w:rsidRDefault="005A02F9">
      <w:pPr>
        <w:jc w:val="center"/>
        <w:rPr>
          <w:rFonts w:eastAsia="Times New Roman"/>
          <w:color w:val="000000"/>
        </w:rPr>
      </w:pPr>
      <w:r>
        <w:rPr>
          <w:rFonts w:eastAsia="Times New Roman"/>
          <w:color w:val="000000"/>
        </w:rPr>
        <w:t>(для опублікування в офіційному друкованому виданні)</w:t>
      </w:r>
    </w:p>
    <w:p w:rsidR="00000000" w:rsidRDefault="005A02F9">
      <w:pPr>
        <w:pStyle w:val="3"/>
        <w:rPr>
          <w:rFonts w:eastAsia="Times New Roman"/>
          <w:color w:val="000000"/>
        </w:rPr>
      </w:pPr>
      <w:r>
        <w:rPr>
          <w:rFonts w:eastAsia="Times New Roman"/>
          <w:color w:val="000000"/>
        </w:rPr>
        <w:t>I. Загальні відомості</w:t>
      </w:r>
    </w:p>
    <w:tbl>
      <w:tblPr>
        <w:tblW w:w="5000" w:type="pct"/>
        <w:tblCellMar>
          <w:top w:w="60" w:type="dxa"/>
          <w:left w:w="60" w:type="dxa"/>
          <w:bottom w:w="60" w:type="dxa"/>
          <w:right w:w="60" w:type="dxa"/>
        </w:tblCellMar>
        <w:tblLook w:val="04A0" w:firstRow="1" w:lastRow="0" w:firstColumn="1" w:lastColumn="0" w:noHBand="0" w:noVBand="1"/>
      </w:tblPr>
      <w:tblGrid>
        <w:gridCol w:w="6060"/>
        <w:gridCol w:w="4145"/>
      </w:tblGrid>
      <w:tr w:rsidR="00000000">
        <w:tc>
          <w:tcPr>
            <w:tcW w:w="0" w:type="auto"/>
            <w:tcBorders>
              <w:top w:val="nil"/>
              <w:left w:val="nil"/>
              <w:bottom w:val="nil"/>
              <w:right w:val="nil"/>
            </w:tcBorders>
            <w:vAlign w:val="center"/>
            <w:hideMark/>
          </w:tcPr>
          <w:p w:rsidR="00000000" w:rsidRDefault="005A02F9">
            <w:pPr>
              <w:rPr>
                <w:rFonts w:eastAsia="Times New Roman"/>
                <w:color w:val="000000"/>
              </w:rPr>
            </w:pPr>
            <w:r>
              <w:rPr>
                <w:rFonts w:eastAsia="Times New Roman"/>
                <w:color w:val="000000"/>
              </w:rPr>
              <w:t>1. Повне найменування емітента</w:t>
            </w:r>
          </w:p>
        </w:tc>
        <w:tc>
          <w:tcPr>
            <w:tcW w:w="0" w:type="auto"/>
            <w:tcBorders>
              <w:top w:val="nil"/>
              <w:left w:val="nil"/>
              <w:bottom w:val="nil"/>
              <w:right w:val="nil"/>
            </w:tcBorders>
            <w:vAlign w:val="center"/>
            <w:hideMark/>
          </w:tcPr>
          <w:p w:rsidR="00000000" w:rsidRDefault="005A02F9">
            <w:pPr>
              <w:rPr>
                <w:rFonts w:eastAsia="Times New Roman"/>
                <w:color w:val="000000"/>
              </w:rPr>
            </w:pPr>
            <w:r>
              <w:rPr>
                <w:rFonts w:eastAsia="Times New Roman"/>
                <w:i/>
                <w:iCs/>
                <w:color w:val="000000"/>
              </w:rPr>
              <w:t>Приватне акцiонерне товариство "АСНОВА ХОЛДИНГ"</w:t>
            </w:r>
          </w:p>
        </w:tc>
      </w:tr>
      <w:tr w:rsidR="00000000">
        <w:tc>
          <w:tcPr>
            <w:tcW w:w="0" w:type="auto"/>
            <w:tcBorders>
              <w:top w:val="nil"/>
              <w:left w:val="nil"/>
              <w:bottom w:val="nil"/>
              <w:right w:val="nil"/>
            </w:tcBorders>
            <w:vAlign w:val="center"/>
            <w:hideMark/>
          </w:tcPr>
          <w:p w:rsidR="00000000" w:rsidRDefault="005A02F9">
            <w:pPr>
              <w:rPr>
                <w:rFonts w:eastAsia="Times New Roman"/>
                <w:color w:val="000000"/>
              </w:rPr>
            </w:pPr>
            <w:r>
              <w:rPr>
                <w:rFonts w:eastAsia="Times New Roman"/>
                <w:color w:val="000000"/>
              </w:rPr>
              <w:t>2. Код за ЄДРПОУ</w:t>
            </w:r>
          </w:p>
        </w:tc>
        <w:tc>
          <w:tcPr>
            <w:tcW w:w="0" w:type="auto"/>
            <w:tcBorders>
              <w:top w:val="nil"/>
              <w:left w:val="nil"/>
              <w:bottom w:val="nil"/>
              <w:right w:val="nil"/>
            </w:tcBorders>
            <w:vAlign w:val="center"/>
            <w:hideMark/>
          </w:tcPr>
          <w:p w:rsidR="00000000" w:rsidRDefault="005A02F9">
            <w:pPr>
              <w:rPr>
                <w:rFonts w:eastAsia="Times New Roman"/>
                <w:color w:val="000000"/>
              </w:rPr>
            </w:pPr>
            <w:r>
              <w:rPr>
                <w:rFonts w:eastAsia="Times New Roman"/>
                <w:color w:val="000000"/>
              </w:rPr>
              <w:t>32252776</w:t>
            </w:r>
          </w:p>
        </w:tc>
      </w:tr>
      <w:tr w:rsidR="00000000">
        <w:tc>
          <w:tcPr>
            <w:tcW w:w="0" w:type="auto"/>
            <w:tcBorders>
              <w:top w:val="nil"/>
              <w:left w:val="nil"/>
              <w:bottom w:val="nil"/>
              <w:right w:val="nil"/>
            </w:tcBorders>
            <w:vAlign w:val="center"/>
            <w:hideMark/>
          </w:tcPr>
          <w:p w:rsidR="00000000" w:rsidRDefault="005A02F9">
            <w:pPr>
              <w:rPr>
                <w:rFonts w:eastAsia="Times New Roman"/>
                <w:color w:val="000000"/>
              </w:rPr>
            </w:pPr>
            <w:r>
              <w:rPr>
                <w:rFonts w:eastAsia="Times New Roman"/>
                <w:color w:val="000000"/>
              </w:rPr>
              <w:t>3. Місцезнаходження</w:t>
            </w:r>
          </w:p>
        </w:tc>
        <w:tc>
          <w:tcPr>
            <w:tcW w:w="0" w:type="auto"/>
            <w:tcBorders>
              <w:top w:val="nil"/>
              <w:left w:val="nil"/>
              <w:bottom w:val="nil"/>
              <w:right w:val="nil"/>
            </w:tcBorders>
            <w:vAlign w:val="center"/>
            <w:hideMark/>
          </w:tcPr>
          <w:p w:rsidR="00000000" w:rsidRDefault="005A02F9">
            <w:pPr>
              <w:rPr>
                <w:rFonts w:eastAsia="Times New Roman"/>
                <w:color w:val="000000"/>
              </w:rPr>
            </w:pPr>
            <w:r>
              <w:rPr>
                <w:rFonts w:eastAsia="Times New Roman"/>
                <w:color w:val="000000"/>
              </w:rPr>
              <w:t>03115, Київ, Краснова, 27</w:t>
            </w:r>
          </w:p>
        </w:tc>
      </w:tr>
      <w:tr w:rsidR="00000000">
        <w:tc>
          <w:tcPr>
            <w:tcW w:w="0" w:type="auto"/>
            <w:tcBorders>
              <w:top w:val="nil"/>
              <w:left w:val="nil"/>
              <w:bottom w:val="nil"/>
              <w:right w:val="nil"/>
            </w:tcBorders>
            <w:vAlign w:val="center"/>
            <w:hideMark/>
          </w:tcPr>
          <w:p w:rsidR="00000000" w:rsidRDefault="005A02F9">
            <w:pPr>
              <w:rPr>
                <w:rFonts w:eastAsia="Times New Roman"/>
                <w:color w:val="000000"/>
              </w:rPr>
            </w:pPr>
            <w:r>
              <w:rPr>
                <w:rFonts w:eastAsia="Times New Roman"/>
                <w:color w:val="000000"/>
              </w:rPr>
              <w:t>4. Міжміський код, телефон та факс</w:t>
            </w:r>
          </w:p>
        </w:tc>
        <w:tc>
          <w:tcPr>
            <w:tcW w:w="0" w:type="auto"/>
            <w:tcBorders>
              <w:top w:val="nil"/>
              <w:left w:val="nil"/>
              <w:bottom w:val="nil"/>
              <w:right w:val="nil"/>
            </w:tcBorders>
            <w:vAlign w:val="center"/>
            <w:hideMark/>
          </w:tcPr>
          <w:p w:rsidR="00000000" w:rsidRDefault="005A02F9">
            <w:pPr>
              <w:rPr>
                <w:rFonts w:eastAsia="Times New Roman"/>
                <w:color w:val="000000"/>
              </w:rPr>
            </w:pPr>
            <w:r>
              <w:rPr>
                <w:rFonts w:eastAsia="Times New Roman"/>
                <w:color w:val="000000"/>
              </w:rPr>
              <w:t>044 452 98 86 044 452 98 86</w:t>
            </w:r>
          </w:p>
        </w:tc>
      </w:tr>
      <w:tr w:rsidR="00000000">
        <w:tc>
          <w:tcPr>
            <w:tcW w:w="0" w:type="auto"/>
            <w:tcBorders>
              <w:top w:val="nil"/>
              <w:left w:val="nil"/>
              <w:bottom w:val="nil"/>
              <w:right w:val="nil"/>
            </w:tcBorders>
            <w:vAlign w:val="center"/>
            <w:hideMark/>
          </w:tcPr>
          <w:p w:rsidR="00000000" w:rsidRDefault="005A02F9">
            <w:pPr>
              <w:rPr>
                <w:rFonts w:eastAsia="Times New Roman"/>
                <w:color w:val="000000"/>
              </w:rPr>
            </w:pPr>
            <w:r>
              <w:rPr>
                <w:rFonts w:eastAsia="Times New Roman"/>
                <w:color w:val="000000"/>
              </w:rPr>
              <w:t>5. Електронна поштова адреса</w:t>
            </w:r>
          </w:p>
        </w:tc>
        <w:tc>
          <w:tcPr>
            <w:tcW w:w="0" w:type="auto"/>
            <w:tcBorders>
              <w:top w:val="nil"/>
              <w:left w:val="nil"/>
              <w:bottom w:val="nil"/>
              <w:right w:val="nil"/>
            </w:tcBorders>
            <w:vAlign w:val="center"/>
            <w:hideMark/>
          </w:tcPr>
          <w:p w:rsidR="00000000" w:rsidRDefault="005A02F9">
            <w:pPr>
              <w:rPr>
                <w:rFonts w:eastAsia="Times New Roman"/>
                <w:color w:val="000000"/>
              </w:rPr>
            </w:pPr>
            <w:r>
              <w:rPr>
                <w:rFonts w:eastAsia="Times New Roman"/>
                <w:color w:val="000000"/>
              </w:rPr>
              <w:t>steblyanko.i@asnova.com</w:t>
            </w:r>
          </w:p>
        </w:tc>
      </w:tr>
      <w:tr w:rsidR="00000000">
        <w:tc>
          <w:tcPr>
            <w:tcW w:w="0" w:type="auto"/>
            <w:tcBorders>
              <w:top w:val="nil"/>
              <w:left w:val="nil"/>
              <w:bottom w:val="nil"/>
              <w:right w:val="nil"/>
            </w:tcBorders>
            <w:vAlign w:val="center"/>
            <w:hideMark/>
          </w:tcPr>
          <w:p w:rsidR="00000000" w:rsidRDefault="005A02F9">
            <w:pPr>
              <w:rPr>
                <w:rFonts w:eastAsia="Times New Roman"/>
                <w:color w:val="000000"/>
              </w:rPr>
            </w:pPr>
            <w:r>
              <w:rPr>
                <w:rFonts w:eastAsia="Times New Roman"/>
                <w:color w:val="000000"/>
              </w:rPr>
              <w:t>6. Адреса сторі</w:t>
            </w:r>
            <w:r>
              <w:rPr>
                <w:rFonts w:eastAsia="Times New Roman"/>
                <w:color w:val="000000"/>
              </w:rPr>
              <w:t>нки в мережі Інтернет, яка додатково використовується емітентом для розкриття інформації</w:t>
            </w:r>
          </w:p>
        </w:tc>
        <w:tc>
          <w:tcPr>
            <w:tcW w:w="0" w:type="auto"/>
            <w:tcBorders>
              <w:top w:val="nil"/>
              <w:left w:val="nil"/>
              <w:bottom w:val="nil"/>
              <w:right w:val="nil"/>
            </w:tcBorders>
            <w:vAlign w:val="center"/>
            <w:hideMark/>
          </w:tcPr>
          <w:p w:rsidR="00000000" w:rsidRDefault="005A02F9">
            <w:pPr>
              <w:rPr>
                <w:rFonts w:eastAsia="Times New Roman"/>
                <w:color w:val="000000"/>
              </w:rPr>
            </w:pPr>
          </w:p>
        </w:tc>
      </w:tr>
      <w:tr w:rsidR="00000000">
        <w:tc>
          <w:tcPr>
            <w:tcW w:w="0" w:type="auto"/>
            <w:tcBorders>
              <w:top w:val="nil"/>
              <w:left w:val="nil"/>
              <w:bottom w:val="nil"/>
              <w:right w:val="nil"/>
            </w:tcBorders>
            <w:vAlign w:val="center"/>
            <w:hideMark/>
          </w:tcPr>
          <w:p w:rsidR="00000000" w:rsidRDefault="005A02F9">
            <w:pPr>
              <w:rPr>
                <w:rFonts w:eastAsia="Times New Roman"/>
                <w:color w:val="000000"/>
              </w:rPr>
            </w:pPr>
            <w:r>
              <w:rPr>
                <w:rFonts w:eastAsia="Times New Roman"/>
                <w:color w:val="000000"/>
              </w:rPr>
              <w:t>7. Вид особливої інформації</w:t>
            </w:r>
          </w:p>
        </w:tc>
        <w:tc>
          <w:tcPr>
            <w:tcW w:w="0" w:type="auto"/>
            <w:tcBorders>
              <w:top w:val="nil"/>
              <w:left w:val="nil"/>
              <w:bottom w:val="nil"/>
              <w:right w:val="nil"/>
            </w:tcBorders>
            <w:vAlign w:val="center"/>
            <w:hideMark/>
          </w:tcPr>
          <w:p w:rsidR="00000000" w:rsidRDefault="005A02F9">
            <w:pPr>
              <w:rPr>
                <w:rFonts w:eastAsia="Times New Roman"/>
                <w:color w:val="000000"/>
              </w:rPr>
            </w:pPr>
            <w:r>
              <w:rPr>
                <w:rFonts w:eastAsia="Times New Roman"/>
                <w:color w:val="000000"/>
              </w:rPr>
              <w:t>Відомості про прийняття рішення про виплату дивідендів</w:t>
            </w:r>
          </w:p>
        </w:tc>
      </w:tr>
      <w:tr w:rsidR="00000000">
        <w:tc>
          <w:tcPr>
            <w:tcW w:w="0" w:type="auto"/>
            <w:tcMar>
              <w:top w:w="15" w:type="dxa"/>
              <w:left w:w="15" w:type="dxa"/>
              <w:bottom w:w="15" w:type="dxa"/>
              <w:right w:w="15" w:type="dxa"/>
            </w:tcMar>
            <w:vAlign w:val="center"/>
            <w:hideMark/>
          </w:tcPr>
          <w:p w:rsidR="00000000" w:rsidRDefault="005A02F9">
            <w:pPr>
              <w:rPr>
                <w:rFonts w:eastAsia="Times New Roman"/>
                <w:color w:val="000000"/>
              </w:rPr>
            </w:pPr>
          </w:p>
        </w:tc>
        <w:tc>
          <w:tcPr>
            <w:tcW w:w="0" w:type="auto"/>
            <w:tcMar>
              <w:top w:w="15" w:type="dxa"/>
              <w:left w:w="15" w:type="dxa"/>
              <w:bottom w:w="15" w:type="dxa"/>
              <w:right w:w="15" w:type="dxa"/>
            </w:tcMar>
            <w:vAlign w:val="center"/>
            <w:hideMark/>
          </w:tcPr>
          <w:p w:rsidR="00000000" w:rsidRDefault="005A02F9">
            <w:pPr>
              <w:rPr>
                <w:rFonts w:eastAsia="Times New Roman"/>
                <w:sz w:val="20"/>
                <w:szCs w:val="20"/>
              </w:rPr>
            </w:pPr>
          </w:p>
        </w:tc>
      </w:tr>
    </w:tbl>
    <w:p w:rsidR="00000000" w:rsidRDefault="005A02F9">
      <w:pPr>
        <w:pStyle w:val="3"/>
        <w:rPr>
          <w:rFonts w:eastAsia="Times New Roman"/>
          <w:color w:val="000000"/>
        </w:rPr>
      </w:pPr>
      <w:r>
        <w:rPr>
          <w:rFonts w:eastAsia="Times New Roman"/>
          <w:color w:val="000000"/>
        </w:rPr>
        <w:t>II. Текст повідомлення</w:t>
      </w:r>
    </w:p>
    <w:tbl>
      <w:tblPr>
        <w:tblW w:w="5000" w:type="pct"/>
        <w:tblCellMar>
          <w:top w:w="15" w:type="dxa"/>
          <w:left w:w="15" w:type="dxa"/>
          <w:bottom w:w="15" w:type="dxa"/>
          <w:right w:w="15" w:type="dxa"/>
        </w:tblCellMar>
        <w:tblLook w:val="04A0" w:firstRow="1" w:lastRow="0" w:firstColumn="1" w:lastColumn="0" w:noHBand="0" w:noVBand="1"/>
      </w:tblPr>
      <w:tblGrid>
        <w:gridCol w:w="10205"/>
      </w:tblGrid>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5A02F9">
            <w:pPr>
              <w:ind w:firstLine="200"/>
              <w:rPr>
                <w:rFonts w:eastAsia="Times New Roman"/>
                <w:color w:val="000000"/>
              </w:rPr>
            </w:pPr>
            <w:r>
              <w:rPr>
                <w:rFonts w:eastAsia="Times New Roman"/>
                <w:color w:val="000000"/>
              </w:rPr>
              <w:t>Загальними зборами ПрАТ «АСНОВА ХОЛДИНГ», що вiдбулися 27 березня 2018 року, по сьомому питанню порядку денного «Затвердження розподiлу прибутку i збиткiв (покриття збиткiв) Товариства за 2017 рiк. Прийняття рiшення про виплату дивiдендiв та затвердження р</w:t>
            </w:r>
            <w:r>
              <w:rPr>
                <w:rFonts w:eastAsia="Times New Roman"/>
                <w:color w:val="000000"/>
              </w:rPr>
              <w:t>озмiру рiчних дивiдендiв, порядку та строкiв їх виплати» (рiшення прийнято одноголосно) прийнятi наступнi рiшення:</w:t>
            </w:r>
            <w:r>
              <w:rPr>
                <w:rFonts w:eastAsia="Times New Roman"/>
                <w:color w:val="000000"/>
              </w:rPr>
              <w:br/>
              <w:t xml:space="preserve">Затвердити порядок розподiлу прибутку за рахунок прибутку 2017 року. </w:t>
            </w:r>
            <w:r>
              <w:rPr>
                <w:rFonts w:eastAsia="Times New Roman"/>
                <w:color w:val="000000"/>
              </w:rPr>
              <w:br/>
              <w:t>Направити:</w:t>
            </w:r>
            <w:r>
              <w:rPr>
                <w:rFonts w:eastAsia="Times New Roman"/>
                <w:color w:val="000000"/>
              </w:rPr>
              <w:br/>
              <w:t>59 997 234 грн. на виплату дивiдендiв акцiонерам та виплатит</w:t>
            </w:r>
            <w:r>
              <w:rPr>
                <w:rFonts w:eastAsia="Times New Roman"/>
                <w:color w:val="000000"/>
              </w:rPr>
              <w:t>и на одну акцiю номiналом 1000,00 грн. по 4 917,00 грн., з урахуванням податку з доходу фiзичних осiб та iнших обов’язкових податкiв та зборiв, вiдповiдальнiсть за утримання та перерахування якого покладається на Товариство.</w:t>
            </w:r>
            <w:r>
              <w:rPr>
                <w:rFonts w:eastAsia="Times New Roman"/>
                <w:color w:val="000000"/>
              </w:rPr>
              <w:br/>
              <w:t>Наглядовiй радi встановити дату</w:t>
            </w:r>
            <w:r>
              <w:rPr>
                <w:rFonts w:eastAsia="Times New Roman"/>
                <w:color w:val="000000"/>
              </w:rPr>
              <w:t xml:space="preserve"> складення перелiку осiб, якi мають право на отримання дивiдендiв, порядок та строк їх виплати. Зазначити, що виплата дивiдендiв здiйснюватиметься шляхом безготiвкового перерахунку суми дивiдендiв на поточнi рахунки акцiонерiв, про якi акцiонери повiдомляю</w:t>
            </w:r>
            <w:r>
              <w:rPr>
                <w:rFonts w:eastAsia="Times New Roman"/>
                <w:color w:val="000000"/>
              </w:rPr>
              <w:t>ть Товариство. Дивiденди можуть виплачуватися частинами.</w:t>
            </w:r>
            <w:r>
              <w:rPr>
                <w:rFonts w:eastAsia="Times New Roman"/>
                <w:color w:val="000000"/>
              </w:rPr>
              <w:br/>
              <w:t>Направити, в порядку встановленому статутом, або вручити особисто повiдомлення кожнiй особi, яка має право на отримання дивiдендiв, про дату, розмiр, порядок та строк їх виплати.</w:t>
            </w:r>
            <w:r>
              <w:rPr>
                <w:rFonts w:eastAsia="Times New Roman"/>
                <w:color w:val="000000"/>
              </w:rPr>
              <w:br/>
              <w:t>призначити датою скл</w:t>
            </w:r>
            <w:r>
              <w:rPr>
                <w:rFonts w:eastAsia="Times New Roman"/>
                <w:color w:val="000000"/>
              </w:rPr>
              <w:t xml:space="preserve">адення перелiку осiб, якi мають право на отримання дивiдендiв за акцiями 25 квiтня 2018 року (станом на 24 годину цiєї дати) та датою початку виплати дивiдендiв – 02 травня 2018 року. Термiн виплати дивiдендiв – не бiльше 6 (шести) мiсяцiв з дня прийняття </w:t>
            </w:r>
            <w:r>
              <w:rPr>
                <w:rFonts w:eastAsia="Times New Roman"/>
                <w:color w:val="000000"/>
              </w:rPr>
              <w:t>загальними зборами рiшення про виплату дивiдендiв. Дивiденди сплачувати фiзичним особам шляхом безготiвкового перерахунку суми дивiдендiв на поточнi рахунки акцiонерiв, про якi акцiонери повiдомляють Товариство. Дивiденди можуть виплачуватися частинами.</w:t>
            </w:r>
            <w:r>
              <w:rPr>
                <w:rFonts w:eastAsia="Times New Roman"/>
                <w:color w:val="000000"/>
              </w:rPr>
              <w:br/>
              <w:t>Дж</w:t>
            </w:r>
            <w:r>
              <w:rPr>
                <w:rFonts w:eastAsia="Times New Roman"/>
                <w:color w:val="000000"/>
              </w:rPr>
              <w:t>ерелом виплати дивiдендiв є прибуток Товариства.</w:t>
            </w:r>
          </w:p>
        </w:tc>
      </w:tr>
    </w:tbl>
    <w:p w:rsidR="00000000" w:rsidRDefault="005A02F9">
      <w:pPr>
        <w:pStyle w:val="3"/>
        <w:rPr>
          <w:rFonts w:eastAsia="Times New Roman"/>
          <w:color w:val="000000"/>
        </w:rPr>
      </w:pPr>
      <w:r>
        <w:rPr>
          <w:rFonts w:eastAsia="Times New Roman"/>
          <w:color w:val="000000"/>
        </w:rPr>
        <w:t>III. Підпис</w:t>
      </w:r>
    </w:p>
    <w:tbl>
      <w:tblPr>
        <w:tblW w:w="5000" w:type="pct"/>
        <w:tblCellMar>
          <w:top w:w="15" w:type="dxa"/>
          <w:left w:w="15" w:type="dxa"/>
          <w:bottom w:w="15" w:type="dxa"/>
          <w:right w:w="15" w:type="dxa"/>
        </w:tblCellMar>
        <w:tblLook w:val="04A0" w:firstRow="1" w:lastRow="0" w:firstColumn="1" w:lastColumn="0" w:noHBand="0" w:noVBand="1"/>
      </w:tblPr>
      <w:tblGrid>
        <w:gridCol w:w="4181"/>
        <w:gridCol w:w="180"/>
        <w:gridCol w:w="821"/>
        <w:gridCol w:w="180"/>
        <w:gridCol w:w="4843"/>
      </w:tblGrid>
      <w:tr w:rsidR="00000000">
        <w:tc>
          <w:tcPr>
            <w:tcW w:w="0" w:type="auto"/>
            <w:gridSpan w:val="5"/>
            <w:tcBorders>
              <w:top w:val="nil"/>
              <w:left w:val="nil"/>
              <w:bottom w:val="nil"/>
              <w:right w:val="nil"/>
            </w:tcBorders>
            <w:tcMar>
              <w:top w:w="60" w:type="dxa"/>
              <w:left w:w="60" w:type="dxa"/>
              <w:bottom w:w="60" w:type="dxa"/>
              <w:right w:w="60" w:type="dxa"/>
            </w:tcMar>
            <w:vAlign w:val="center"/>
            <w:hideMark/>
          </w:tcPr>
          <w:p w:rsidR="00000000" w:rsidRDefault="005A02F9">
            <w:pPr>
              <w:rPr>
                <w:rFonts w:eastAsia="Times New Roman"/>
                <w:color w:val="000000"/>
              </w:rPr>
            </w:pPr>
            <w:r>
              <w:rPr>
                <w:rFonts w:eastAsia="Times New Roman"/>
                <w:color w:val="000000"/>
              </w:rPr>
              <w:t xml:space="preserve">1. Особа, зазначена нижче, підтверджує достовірність інформації, що міститься у повідомленні, та визнає, що вона несе відповідальність згідно із законодавством. </w:t>
            </w:r>
          </w:p>
        </w:tc>
      </w:tr>
      <w:tr w:rsidR="00000000">
        <w:tc>
          <w:tcPr>
            <w:tcW w:w="3000" w:type="dxa"/>
            <w:tcBorders>
              <w:top w:val="nil"/>
              <w:left w:val="nil"/>
              <w:bottom w:val="nil"/>
              <w:right w:val="nil"/>
            </w:tcBorders>
            <w:tcMar>
              <w:top w:w="60" w:type="dxa"/>
              <w:left w:w="60" w:type="dxa"/>
              <w:bottom w:w="60" w:type="dxa"/>
              <w:right w:w="60" w:type="dxa"/>
            </w:tcMar>
            <w:vAlign w:val="center"/>
            <w:hideMark/>
          </w:tcPr>
          <w:p w:rsidR="00000000" w:rsidRDefault="005A02F9">
            <w:pPr>
              <w:rPr>
                <w:rFonts w:eastAsia="Times New Roman"/>
                <w:color w:val="000000"/>
              </w:rPr>
            </w:pPr>
            <w:r>
              <w:rPr>
                <w:rFonts w:eastAsia="Times New Roman"/>
                <w:color w:val="000000"/>
              </w:rPr>
              <w:t>2. Найменування посади</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5A02F9">
            <w:pPr>
              <w:rPr>
                <w:rFonts w:eastAsia="Times New Roman"/>
                <w:color w:val="000000"/>
              </w:rPr>
            </w:pPr>
            <w:r>
              <w:rPr>
                <w:rFonts w:eastAsia="Times New Roman"/>
                <w:color w:val="000000"/>
              </w:rPr>
              <w:t> </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5A02F9">
            <w:pPr>
              <w:rPr>
                <w:rFonts w:eastAsia="Times New Roman"/>
                <w:color w:val="000000"/>
              </w:rPr>
            </w:pPr>
            <w:r>
              <w:rPr>
                <w:rFonts w:eastAsia="Times New Roman"/>
                <w:color w:val="000000"/>
              </w:rPr>
              <w:t> </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5A02F9">
            <w:pPr>
              <w:rPr>
                <w:rFonts w:eastAsia="Times New Roman"/>
                <w:color w:val="000000"/>
              </w:rPr>
            </w:pPr>
            <w:r>
              <w:rPr>
                <w:rFonts w:eastAsia="Times New Roman"/>
                <w:color w:val="000000"/>
              </w:rPr>
              <w:t> </w:t>
            </w:r>
          </w:p>
        </w:tc>
        <w:tc>
          <w:tcPr>
            <w:tcW w:w="3750" w:type="dxa"/>
            <w:tcBorders>
              <w:top w:val="nil"/>
              <w:left w:val="nil"/>
              <w:bottom w:val="nil"/>
              <w:right w:val="nil"/>
            </w:tcBorders>
            <w:tcMar>
              <w:top w:w="60" w:type="dxa"/>
              <w:left w:w="60" w:type="dxa"/>
              <w:bottom w:w="60" w:type="dxa"/>
              <w:right w:w="60" w:type="dxa"/>
            </w:tcMar>
            <w:vAlign w:val="center"/>
            <w:hideMark/>
          </w:tcPr>
          <w:p w:rsidR="00000000" w:rsidRDefault="005A02F9">
            <w:pPr>
              <w:jc w:val="center"/>
              <w:rPr>
                <w:rFonts w:eastAsia="Times New Roman"/>
                <w:color w:val="000000"/>
              </w:rPr>
            </w:pPr>
            <w:r>
              <w:rPr>
                <w:rFonts w:eastAsia="Times New Roman"/>
                <w:color w:val="000000"/>
              </w:rPr>
              <w:t>Гулiєв У.Р.</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5A02F9">
            <w:pPr>
              <w:jc w:val="center"/>
              <w:rPr>
                <w:rFonts w:eastAsia="Times New Roman"/>
                <w:color w:val="000000"/>
              </w:rPr>
            </w:pPr>
            <w:r>
              <w:rPr>
                <w:rFonts w:eastAsia="Times New Roman"/>
                <w:color w:val="000000"/>
              </w:rPr>
              <w:lastRenderedPageBreak/>
              <w:t>Директор</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5A02F9">
            <w:pPr>
              <w:rPr>
                <w:rFonts w:eastAsia="Times New Roman"/>
                <w:color w:val="000000"/>
              </w:rPr>
            </w:pPr>
            <w:r>
              <w:rPr>
                <w:rFonts w:eastAsia="Times New Roman"/>
                <w:color w:val="000000"/>
              </w:rPr>
              <w:t> </w:t>
            </w:r>
          </w:p>
        </w:tc>
        <w:tc>
          <w:tcPr>
            <w:tcW w:w="0" w:type="auto"/>
            <w:tcBorders>
              <w:top w:val="single" w:sz="6" w:space="0" w:color="CCCCCC"/>
              <w:left w:val="nil"/>
              <w:bottom w:val="nil"/>
              <w:right w:val="nil"/>
            </w:tcBorders>
            <w:tcMar>
              <w:top w:w="60" w:type="dxa"/>
              <w:left w:w="60" w:type="dxa"/>
              <w:bottom w:w="60" w:type="dxa"/>
              <w:right w:w="60" w:type="dxa"/>
            </w:tcMar>
            <w:vAlign w:val="center"/>
            <w:hideMark/>
          </w:tcPr>
          <w:p w:rsidR="00000000" w:rsidRDefault="005A02F9">
            <w:pPr>
              <w:jc w:val="center"/>
              <w:rPr>
                <w:rFonts w:eastAsia="Times New Roman"/>
                <w:color w:val="000000"/>
              </w:rPr>
            </w:pPr>
            <w:r>
              <w:rPr>
                <w:rStyle w:val="small-text1"/>
                <w:rFonts w:eastAsia="Times New Roman"/>
                <w:color w:val="000000"/>
              </w:rPr>
              <w:t>(підпис)</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5A02F9">
            <w:pPr>
              <w:rPr>
                <w:rFonts w:eastAsia="Times New Roman"/>
                <w:color w:val="000000"/>
              </w:rPr>
            </w:pPr>
            <w:r>
              <w:rPr>
                <w:rFonts w:eastAsia="Times New Roman"/>
                <w:color w:val="000000"/>
              </w:rPr>
              <w:t> </w:t>
            </w:r>
          </w:p>
        </w:tc>
        <w:tc>
          <w:tcPr>
            <w:tcW w:w="0" w:type="auto"/>
            <w:tcBorders>
              <w:top w:val="single" w:sz="6" w:space="0" w:color="CCCCCC"/>
              <w:left w:val="nil"/>
              <w:bottom w:val="nil"/>
              <w:right w:val="nil"/>
            </w:tcBorders>
            <w:tcMar>
              <w:top w:w="60" w:type="dxa"/>
              <w:left w:w="60" w:type="dxa"/>
              <w:bottom w:w="60" w:type="dxa"/>
              <w:right w:w="60" w:type="dxa"/>
            </w:tcMar>
            <w:vAlign w:val="center"/>
            <w:hideMark/>
          </w:tcPr>
          <w:p w:rsidR="00000000" w:rsidRDefault="005A02F9">
            <w:pPr>
              <w:jc w:val="center"/>
              <w:rPr>
                <w:rFonts w:eastAsia="Times New Roman"/>
                <w:color w:val="000000"/>
              </w:rPr>
            </w:pPr>
            <w:r>
              <w:rPr>
                <w:rStyle w:val="small-text1"/>
                <w:rFonts w:eastAsia="Times New Roman"/>
                <w:color w:val="000000"/>
              </w:rPr>
              <w:t>(ініціали та прізвище керівника)</w:t>
            </w:r>
          </w:p>
        </w:tc>
      </w:tr>
      <w:tr w:rsidR="00000000">
        <w:tc>
          <w:tcPr>
            <w:tcW w:w="0" w:type="auto"/>
            <w:vMerge w:val="restart"/>
            <w:tcBorders>
              <w:top w:val="nil"/>
              <w:left w:val="nil"/>
              <w:bottom w:val="nil"/>
              <w:right w:val="nil"/>
            </w:tcBorders>
            <w:tcMar>
              <w:top w:w="60" w:type="dxa"/>
              <w:left w:w="60" w:type="dxa"/>
              <w:bottom w:w="60" w:type="dxa"/>
              <w:right w:w="60" w:type="dxa"/>
            </w:tcMar>
            <w:vAlign w:val="center"/>
            <w:hideMark/>
          </w:tcPr>
          <w:p w:rsidR="00000000" w:rsidRDefault="005A02F9">
            <w:pPr>
              <w:jc w:val="center"/>
              <w:rPr>
                <w:rFonts w:eastAsia="Times New Roman"/>
                <w:color w:val="000000"/>
              </w:rPr>
            </w:pPr>
          </w:p>
        </w:tc>
        <w:tc>
          <w:tcPr>
            <w:tcW w:w="0" w:type="auto"/>
            <w:vMerge w:val="restart"/>
            <w:tcBorders>
              <w:top w:val="nil"/>
              <w:left w:val="nil"/>
              <w:bottom w:val="nil"/>
              <w:right w:val="nil"/>
            </w:tcBorders>
            <w:tcMar>
              <w:top w:w="60" w:type="dxa"/>
              <w:left w:w="60" w:type="dxa"/>
              <w:bottom w:w="60" w:type="dxa"/>
              <w:right w:w="60" w:type="dxa"/>
            </w:tcMar>
            <w:vAlign w:val="center"/>
            <w:hideMark/>
          </w:tcPr>
          <w:p w:rsidR="00000000" w:rsidRDefault="005A02F9">
            <w:pPr>
              <w:rPr>
                <w:rFonts w:eastAsia="Times New Roman"/>
                <w:sz w:val="20"/>
                <w:szCs w:val="20"/>
              </w:rPr>
            </w:pPr>
          </w:p>
        </w:tc>
        <w:tc>
          <w:tcPr>
            <w:tcW w:w="0" w:type="auto"/>
            <w:vMerge w:val="restart"/>
            <w:tcBorders>
              <w:top w:val="nil"/>
              <w:left w:val="nil"/>
              <w:bottom w:val="nil"/>
              <w:right w:val="nil"/>
            </w:tcBorders>
            <w:tcMar>
              <w:top w:w="300" w:type="dxa"/>
              <w:left w:w="60" w:type="dxa"/>
              <w:bottom w:w="60" w:type="dxa"/>
              <w:right w:w="60" w:type="dxa"/>
            </w:tcMar>
            <w:vAlign w:val="center"/>
            <w:hideMark/>
          </w:tcPr>
          <w:p w:rsidR="00000000" w:rsidRDefault="005A02F9">
            <w:pPr>
              <w:jc w:val="center"/>
              <w:rPr>
                <w:rFonts w:eastAsia="Times New Roman"/>
                <w:color w:val="000000"/>
              </w:rPr>
            </w:pPr>
            <w:r>
              <w:rPr>
                <w:rFonts w:eastAsia="Times New Roman"/>
                <w:color w:val="000000"/>
              </w:rPr>
              <w:t>М.П.</w:t>
            </w:r>
          </w:p>
        </w:tc>
        <w:tc>
          <w:tcPr>
            <w:tcW w:w="0" w:type="auto"/>
            <w:vMerge w:val="restart"/>
            <w:tcBorders>
              <w:top w:val="nil"/>
              <w:left w:val="nil"/>
              <w:bottom w:val="nil"/>
              <w:right w:val="nil"/>
            </w:tcBorders>
            <w:tcMar>
              <w:top w:w="60" w:type="dxa"/>
              <w:left w:w="60" w:type="dxa"/>
              <w:bottom w:w="60" w:type="dxa"/>
              <w:right w:w="60" w:type="dxa"/>
            </w:tcMar>
            <w:vAlign w:val="center"/>
            <w:hideMark/>
          </w:tcPr>
          <w:p w:rsidR="00000000" w:rsidRDefault="005A02F9">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5A02F9">
            <w:pPr>
              <w:jc w:val="center"/>
              <w:rPr>
                <w:rFonts w:eastAsia="Times New Roman"/>
                <w:color w:val="000000"/>
              </w:rPr>
            </w:pPr>
            <w:r>
              <w:rPr>
                <w:rFonts w:eastAsia="Times New Roman"/>
                <w:color w:val="000000"/>
              </w:rPr>
              <w:t>10.04.2018</w:t>
            </w:r>
          </w:p>
        </w:tc>
      </w:tr>
      <w:tr w:rsidR="00000000">
        <w:tc>
          <w:tcPr>
            <w:tcW w:w="0" w:type="auto"/>
            <w:vMerge/>
            <w:tcBorders>
              <w:top w:val="nil"/>
              <w:left w:val="nil"/>
              <w:bottom w:val="nil"/>
              <w:right w:val="nil"/>
            </w:tcBorders>
            <w:vAlign w:val="center"/>
            <w:hideMark/>
          </w:tcPr>
          <w:p w:rsidR="00000000" w:rsidRDefault="005A02F9">
            <w:pPr>
              <w:rPr>
                <w:rFonts w:eastAsia="Times New Roman"/>
                <w:color w:val="000000"/>
              </w:rPr>
            </w:pPr>
          </w:p>
        </w:tc>
        <w:tc>
          <w:tcPr>
            <w:tcW w:w="0" w:type="auto"/>
            <w:vMerge/>
            <w:tcBorders>
              <w:top w:val="nil"/>
              <w:left w:val="nil"/>
              <w:bottom w:val="nil"/>
              <w:right w:val="nil"/>
            </w:tcBorders>
            <w:vAlign w:val="center"/>
            <w:hideMark/>
          </w:tcPr>
          <w:p w:rsidR="00000000" w:rsidRDefault="005A02F9">
            <w:pPr>
              <w:rPr>
                <w:rFonts w:eastAsia="Times New Roman"/>
                <w:sz w:val="20"/>
                <w:szCs w:val="20"/>
              </w:rPr>
            </w:pPr>
          </w:p>
        </w:tc>
        <w:tc>
          <w:tcPr>
            <w:tcW w:w="0" w:type="auto"/>
            <w:vMerge/>
            <w:tcBorders>
              <w:top w:val="nil"/>
              <w:left w:val="nil"/>
              <w:bottom w:val="nil"/>
              <w:right w:val="nil"/>
            </w:tcBorders>
            <w:vAlign w:val="center"/>
            <w:hideMark/>
          </w:tcPr>
          <w:p w:rsidR="00000000" w:rsidRDefault="005A02F9">
            <w:pPr>
              <w:rPr>
                <w:rFonts w:eastAsia="Times New Roman"/>
                <w:color w:val="000000"/>
              </w:rPr>
            </w:pPr>
          </w:p>
        </w:tc>
        <w:tc>
          <w:tcPr>
            <w:tcW w:w="0" w:type="auto"/>
            <w:vMerge/>
            <w:tcBorders>
              <w:top w:val="nil"/>
              <w:left w:val="nil"/>
              <w:bottom w:val="nil"/>
              <w:right w:val="nil"/>
            </w:tcBorders>
            <w:vAlign w:val="center"/>
            <w:hideMark/>
          </w:tcPr>
          <w:p w:rsidR="00000000" w:rsidRDefault="005A02F9">
            <w:pPr>
              <w:rPr>
                <w:rFonts w:eastAsia="Times New Roman"/>
                <w:color w:val="000000"/>
              </w:rPr>
            </w:pPr>
          </w:p>
        </w:tc>
        <w:tc>
          <w:tcPr>
            <w:tcW w:w="0" w:type="auto"/>
            <w:tcBorders>
              <w:top w:val="single" w:sz="6" w:space="0" w:color="CCCCCC"/>
              <w:left w:val="nil"/>
              <w:bottom w:val="nil"/>
              <w:right w:val="nil"/>
            </w:tcBorders>
            <w:tcMar>
              <w:top w:w="60" w:type="dxa"/>
              <w:left w:w="60" w:type="dxa"/>
              <w:bottom w:w="60" w:type="dxa"/>
              <w:right w:w="60" w:type="dxa"/>
            </w:tcMar>
            <w:vAlign w:val="center"/>
            <w:hideMark/>
          </w:tcPr>
          <w:p w:rsidR="00000000" w:rsidRDefault="005A02F9">
            <w:pPr>
              <w:jc w:val="center"/>
              <w:rPr>
                <w:rFonts w:eastAsia="Times New Roman"/>
                <w:color w:val="000000"/>
              </w:rPr>
            </w:pPr>
            <w:r>
              <w:rPr>
                <w:rStyle w:val="small-text1"/>
                <w:rFonts w:eastAsia="Times New Roman"/>
                <w:color w:val="000000"/>
              </w:rPr>
              <w:t>(дата)</w:t>
            </w:r>
          </w:p>
        </w:tc>
      </w:tr>
    </w:tbl>
    <w:p w:rsidR="005A02F9" w:rsidRDefault="005A02F9">
      <w:pPr>
        <w:rPr>
          <w:rFonts w:eastAsia="Times New Roman"/>
        </w:rPr>
      </w:pPr>
    </w:p>
    <w:sectPr w:rsidR="005A02F9">
      <w:pgSz w:w="11907" w:h="16840"/>
      <w:pgMar w:top="1134" w:right="851" w:bottom="851" w:left="851"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altName w:val="Century Gothic"/>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F65B94"/>
    <w:rsid w:val="005A02F9"/>
    <w:rsid w:val="00982B4E"/>
    <w:rsid w:val="00F65B9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7D896CF-88FA-4FF0-874D-BB8DCE005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heme="minorEastAsia"/>
      <w:sz w:val="24"/>
      <w:szCs w:val="24"/>
    </w:rPr>
  </w:style>
  <w:style w:type="paragraph" w:styleId="3">
    <w:name w:val="heading 3"/>
    <w:basedOn w:val="a"/>
    <w:link w:val="30"/>
    <w:uiPriority w:val="9"/>
    <w:qFormat/>
    <w:pPr>
      <w:spacing w:after="300"/>
      <w:jc w:val="center"/>
      <w:outlineLvl w:val="2"/>
    </w:pPr>
    <w:rPr>
      <w:b/>
      <w:bCs/>
      <w:sz w:val="28"/>
      <w:szCs w:val="28"/>
    </w:rPr>
  </w:style>
  <w:style w:type="paragraph" w:styleId="4">
    <w:name w:val="heading 4"/>
    <w:basedOn w:val="a"/>
    <w:link w:val="40"/>
    <w:uiPriority w:val="9"/>
    <w:qFormat/>
    <w:pPr>
      <w:spacing w:after="225"/>
      <w:jc w:val="center"/>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uiPriority w:val="9"/>
    <w:semiHidden/>
    <w:rPr>
      <w:rFonts w:asciiTheme="majorHAnsi" w:eastAsiaTheme="majorEastAsia" w:hAnsiTheme="majorHAnsi" w:cstheme="majorBidi"/>
      <w:i/>
      <w:iCs/>
      <w:color w:val="2E74B5" w:themeColor="accent1" w:themeShade="BF"/>
      <w:sz w:val="24"/>
      <w:szCs w:val="24"/>
    </w:rPr>
  </w:style>
  <w:style w:type="paragraph" w:customStyle="1" w:styleId="justify">
    <w:name w:val="justify"/>
    <w:basedOn w:val="a"/>
    <w:pPr>
      <w:spacing w:before="100" w:beforeAutospacing="1" w:after="100" w:afterAutospacing="1"/>
      <w:jc w:val="both"/>
    </w:pPr>
  </w:style>
  <w:style w:type="paragraph" w:customStyle="1" w:styleId="zmist">
    <w:name w:val="zmist"/>
    <w:basedOn w:val="a"/>
    <w:pPr>
      <w:spacing w:before="100" w:beforeAutospacing="1" w:after="100" w:afterAutospacing="1"/>
      <w:ind w:firstLine="200"/>
    </w:pPr>
  </w:style>
  <w:style w:type="paragraph" w:customStyle="1" w:styleId="left">
    <w:name w:val="left"/>
    <w:basedOn w:val="a"/>
    <w:pPr>
      <w:spacing w:before="100" w:beforeAutospacing="1" w:after="100" w:afterAutospacing="1"/>
    </w:pPr>
  </w:style>
  <w:style w:type="paragraph" w:customStyle="1" w:styleId="right">
    <w:name w:val="right"/>
    <w:basedOn w:val="a"/>
    <w:pPr>
      <w:spacing w:before="100" w:beforeAutospacing="1" w:after="100" w:afterAutospacing="1"/>
      <w:jc w:val="right"/>
    </w:pPr>
  </w:style>
  <w:style w:type="paragraph" w:customStyle="1" w:styleId="center">
    <w:name w:val="center"/>
    <w:basedOn w:val="a"/>
    <w:pPr>
      <w:spacing w:before="100" w:beforeAutospacing="1" w:after="100" w:afterAutospacing="1"/>
      <w:jc w:val="center"/>
    </w:pPr>
  </w:style>
  <w:style w:type="paragraph" w:customStyle="1" w:styleId="bold">
    <w:name w:val="bold"/>
    <w:basedOn w:val="a"/>
    <w:pPr>
      <w:spacing w:before="100" w:beforeAutospacing="1" w:after="100" w:afterAutospacing="1"/>
    </w:pPr>
    <w:rPr>
      <w:b/>
      <w:bCs/>
    </w:rPr>
  </w:style>
  <w:style w:type="paragraph" w:customStyle="1" w:styleId="brdnone">
    <w:name w:val="brdnone"/>
    <w:basedOn w:val="a"/>
    <w:pPr>
      <w:spacing w:before="100" w:beforeAutospacing="1" w:after="100" w:afterAutospacing="1"/>
    </w:pPr>
  </w:style>
  <w:style w:type="paragraph" w:customStyle="1" w:styleId="brdbtm">
    <w:name w:val="brdbtm"/>
    <w:basedOn w:val="a"/>
    <w:pPr>
      <w:pBdr>
        <w:bottom w:val="single" w:sz="6" w:space="0" w:color="000000"/>
      </w:pBdr>
      <w:spacing w:before="100" w:beforeAutospacing="1" w:after="100" w:afterAutospacing="1"/>
    </w:pPr>
  </w:style>
  <w:style w:type="paragraph" w:customStyle="1" w:styleId="brdtop">
    <w:name w:val="brdtop"/>
    <w:basedOn w:val="a"/>
    <w:pPr>
      <w:pBdr>
        <w:top w:val="single" w:sz="6" w:space="0" w:color="000000"/>
      </w:pBdr>
      <w:spacing w:before="100" w:beforeAutospacing="1" w:after="100" w:afterAutospacing="1"/>
    </w:pPr>
  </w:style>
  <w:style w:type="paragraph" w:customStyle="1" w:styleId="brdall">
    <w:name w:val="brdall"/>
    <w:basedOn w:val="a"/>
    <w:pPr>
      <w:pBdr>
        <w:top w:val="single" w:sz="6" w:space="0" w:color="000000"/>
        <w:left w:val="single" w:sz="6" w:space="0" w:color="000000"/>
        <w:bottom w:val="single" w:sz="6" w:space="0" w:color="000000"/>
        <w:right w:val="single" w:sz="6" w:space="0" w:color="000000"/>
      </w:pBdr>
      <w:spacing w:before="100" w:beforeAutospacing="1" w:after="100" w:afterAutospacing="1"/>
    </w:pPr>
  </w:style>
  <w:style w:type="paragraph" w:customStyle="1" w:styleId="small-text">
    <w:name w:val="small-text"/>
    <w:basedOn w:val="a"/>
    <w:pPr>
      <w:spacing w:before="100" w:beforeAutospacing="1" w:after="100" w:afterAutospacing="1"/>
    </w:pPr>
    <w:rPr>
      <w:sz w:val="20"/>
      <w:szCs w:val="20"/>
    </w:rPr>
  </w:style>
  <w:style w:type="paragraph" w:customStyle="1" w:styleId="pagebreak">
    <w:name w:val="pagebreak"/>
    <w:basedOn w:val="a"/>
    <w:pPr>
      <w:pageBreakBefore/>
      <w:spacing w:before="100" w:beforeAutospacing="1" w:after="100" w:afterAutospacing="1"/>
    </w:pPr>
  </w:style>
  <w:style w:type="character" w:customStyle="1" w:styleId="small-text1">
    <w:name w:val="small-text1"/>
    <w:basedOn w:val="a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1815</Words>
  <Characters>1035</Characters>
  <Application>Microsoft Office Word</Application>
  <DocSecurity>0</DocSecurity>
  <Lines>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ASNOVA Holding</Company>
  <LinksUpToDate>false</LinksUpToDate>
  <CharactersWithSpaces>2845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Author</cp:lastModifiedBy>
  <cp:revision>2</cp:revision>
  <dcterms:created xsi:type="dcterms:W3CDTF">2018-04-13T08:43:00Z</dcterms:created>
  <dcterms:modified xsi:type="dcterms:W3CDTF">2018-04-13T08:43:00Z</dcterms:modified>
</cp:coreProperties>
</file>